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5E" w:rsidRPr="007C6ABD" w:rsidRDefault="000A64E0" w:rsidP="006D203D">
      <w:pPr>
        <w:tabs>
          <w:tab w:val="right" w:pos="4950"/>
        </w:tabs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>فرم کاهش و افزایش بیمه درمان تکمیلی قرارداد جدید (1/8/</w:t>
      </w:r>
      <w:r w:rsidR="006D203D">
        <w:rPr>
          <w:rFonts w:cs="B Nazanin" w:hint="cs"/>
          <w:b/>
          <w:bCs/>
          <w:sz w:val="24"/>
          <w:szCs w:val="24"/>
          <w:rtl/>
          <w:lang w:bidi="fa-IR"/>
        </w:rPr>
        <w:t>99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لغایت 30/7/</w:t>
      </w:r>
      <w:r w:rsidR="006D203D">
        <w:rPr>
          <w:rFonts w:cs="B Nazanin" w:hint="cs"/>
          <w:b/>
          <w:bCs/>
          <w:sz w:val="24"/>
          <w:szCs w:val="24"/>
          <w:rtl/>
          <w:lang w:bidi="fa-IR"/>
        </w:rPr>
        <w:t>1400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72116A" w:rsidRPr="007C6ABD" w:rsidRDefault="0072116A" w:rsidP="000A64E0">
      <w:pPr>
        <w:bidi/>
        <w:spacing w:after="120" w:line="240" w:lineRule="auto"/>
        <w:ind w:right="70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>با عنایت به انعقاد قرارداد جدید بیمه</w:t>
      </w:r>
      <w:r w:rsidR="00DC5982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تکمیلی </w:t>
      </w:r>
      <w:r w:rsidR="00DC5982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قالب دو طرح </w:t>
      </w:r>
      <w:r w:rsidR="000A64E0" w:rsidRPr="007C6ABD">
        <w:rPr>
          <w:rFonts w:cs="B Nazanin" w:hint="cs"/>
          <w:b/>
          <w:bCs/>
          <w:sz w:val="24"/>
          <w:szCs w:val="24"/>
          <w:rtl/>
          <w:lang w:bidi="fa-IR"/>
        </w:rPr>
        <w:t>بدون سقف</w:t>
      </w:r>
      <w:r w:rsidR="00DC5982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0A64E0" w:rsidRPr="007C6ABD">
        <w:rPr>
          <w:rFonts w:cs="B Nazanin" w:hint="cs"/>
          <w:b/>
          <w:bCs/>
          <w:sz w:val="24"/>
          <w:szCs w:val="24"/>
          <w:rtl/>
          <w:lang w:bidi="fa-IR"/>
        </w:rPr>
        <w:t>عادی</w:t>
      </w:r>
      <w:r w:rsidR="00DC5982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به شرح جدول زیر، مر</w:t>
      </w:r>
      <w:r w:rsidR="00DC5982" w:rsidRPr="007C6ABD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>تب جهت انتخاب به اطلاع می رس</w:t>
      </w:r>
      <w:r w:rsidR="002001F7" w:rsidRPr="007C6ABD">
        <w:rPr>
          <w:rFonts w:cs="B Nazanin" w:hint="cs"/>
          <w:b/>
          <w:bCs/>
          <w:sz w:val="24"/>
          <w:szCs w:val="24"/>
          <w:rtl/>
          <w:lang w:bidi="fa-IR"/>
        </w:rPr>
        <w:t>ان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2001F7" w:rsidRPr="007C6AB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-21"/>
        <w:bidiVisual/>
        <w:tblW w:w="6642" w:type="dxa"/>
        <w:tblLook w:val="04A0" w:firstRow="1" w:lastRow="0" w:firstColumn="1" w:lastColumn="0" w:noHBand="0" w:noVBand="1"/>
      </w:tblPr>
      <w:tblGrid>
        <w:gridCol w:w="2086"/>
        <w:gridCol w:w="2279"/>
        <w:gridCol w:w="2277"/>
      </w:tblGrid>
      <w:tr w:rsidR="00EA2131" w:rsidRPr="000A64E0" w:rsidTr="007C6ABD">
        <w:tc>
          <w:tcPr>
            <w:tcW w:w="2086" w:type="dxa"/>
          </w:tcPr>
          <w:p w:rsidR="00EA2131" w:rsidRPr="007C6ABD" w:rsidRDefault="00EA2131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مورد نظر</w:t>
            </w:r>
          </w:p>
          <w:p w:rsidR="00EA2131" w:rsidRPr="007C6ABD" w:rsidRDefault="00EA2131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2279" w:type="dxa"/>
          </w:tcPr>
          <w:p w:rsidR="00EA2131" w:rsidRPr="007C6ABD" w:rsidRDefault="00EA2131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 طرح</w:t>
            </w:r>
          </w:p>
          <w:p w:rsidR="00EA2131" w:rsidRPr="007C6ABD" w:rsidRDefault="00EA2131" w:rsidP="007C6ABD">
            <w:pPr>
              <w:pStyle w:val="Subtitle"/>
              <w:bidi/>
              <w:ind w:right="709"/>
              <w:jc w:val="center"/>
              <w:rPr>
                <w:rFonts w:ascii="Leelawadee" w:hAnsi="Leelawadee" w:cs="B Nazanin"/>
                <w:b/>
                <w:bCs/>
                <w:i w:val="0"/>
                <w:iCs w:val="0"/>
                <w:rtl/>
                <w:lang w:bidi="fa-IR"/>
              </w:rPr>
            </w:pPr>
          </w:p>
        </w:tc>
        <w:tc>
          <w:tcPr>
            <w:tcW w:w="2277" w:type="dxa"/>
          </w:tcPr>
          <w:p w:rsidR="00EA2131" w:rsidRPr="007C6ABD" w:rsidRDefault="00EA2131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 بیمه هر نفر</w:t>
            </w:r>
          </w:p>
        </w:tc>
      </w:tr>
      <w:tr w:rsidR="00EA2131" w:rsidRPr="000A64E0" w:rsidTr="007C6ABD">
        <w:tc>
          <w:tcPr>
            <w:tcW w:w="2086" w:type="dxa"/>
          </w:tcPr>
          <w:p w:rsidR="00EA2131" w:rsidRPr="007C6ABD" w:rsidRDefault="00EA2131" w:rsidP="007C6ABD">
            <w:pPr>
              <w:pStyle w:val="Heading3"/>
              <w:jc w:val="center"/>
              <w:outlineLvl w:val="2"/>
              <w:rPr>
                <w:rFonts w:cs="B Nazanin"/>
                <w:rtl/>
                <w:lang w:bidi="fa-IR"/>
              </w:rPr>
            </w:pPr>
          </w:p>
        </w:tc>
        <w:tc>
          <w:tcPr>
            <w:tcW w:w="2279" w:type="dxa"/>
          </w:tcPr>
          <w:p w:rsidR="00EA2131" w:rsidRPr="007C6ABD" w:rsidRDefault="000A64E0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بدون سقف  (1)</w:t>
            </w:r>
          </w:p>
        </w:tc>
        <w:tc>
          <w:tcPr>
            <w:tcW w:w="2277" w:type="dxa"/>
          </w:tcPr>
          <w:p w:rsidR="00EA2131" w:rsidRPr="007C6ABD" w:rsidRDefault="00EA2131" w:rsidP="006D203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</w:t>
            </w:r>
            <w:r w:rsidR="006D20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829</w:t>
            </w:r>
            <w:r w:rsidR="000A64E0"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</w:t>
            </w: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ریال</w:t>
            </w:r>
          </w:p>
        </w:tc>
      </w:tr>
      <w:tr w:rsidR="00EA2131" w:rsidRPr="000A64E0" w:rsidTr="007C6ABD">
        <w:tc>
          <w:tcPr>
            <w:tcW w:w="2086" w:type="dxa"/>
          </w:tcPr>
          <w:p w:rsidR="00EA2131" w:rsidRPr="007C6ABD" w:rsidRDefault="00EA2131" w:rsidP="007C6ABD">
            <w:pPr>
              <w:bidi/>
              <w:spacing w:after="120"/>
              <w:ind w:right="709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9" w:type="dxa"/>
          </w:tcPr>
          <w:p w:rsidR="00EA2131" w:rsidRPr="007C6ABD" w:rsidRDefault="000A64E0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عادی       (2)</w:t>
            </w:r>
          </w:p>
        </w:tc>
        <w:tc>
          <w:tcPr>
            <w:tcW w:w="2277" w:type="dxa"/>
          </w:tcPr>
          <w:p w:rsidR="00EA2131" w:rsidRPr="007C6ABD" w:rsidRDefault="00EA2131" w:rsidP="006D203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</w:t>
            </w:r>
            <w:r w:rsidR="006D20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250</w:t>
            </w:r>
            <w:r w:rsidRPr="007C6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 ریال</w:t>
            </w:r>
          </w:p>
        </w:tc>
      </w:tr>
    </w:tbl>
    <w:p w:rsidR="000A2151" w:rsidRPr="000A64E0" w:rsidRDefault="000A2151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2001F7" w:rsidRPr="000A64E0" w:rsidRDefault="002001F7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001F7" w:rsidRPr="000A64E0" w:rsidRDefault="002001F7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0B37C3" w:rsidRDefault="000B37C3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D25BAC" w:rsidRPr="000A64E0" w:rsidRDefault="00D25BAC" w:rsidP="00D25BAC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0B37C3" w:rsidRPr="000A64E0" w:rsidRDefault="000B37C3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0B37C3" w:rsidRPr="000A64E0" w:rsidRDefault="000B37C3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0B37C3" w:rsidRPr="000A64E0" w:rsidRDefault="000B37C3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0B37C3" w:rsidRPr="000A64E0" w:rsidRDefault="000B37C3" w:rsidP="000B37C3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001F7" w:rsidRPr="000A64E0" w:rsidRDefault="002001F7" w:rsidP="00010947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** </w:t>
      </w:r>
      <w:r w:rsidRPr="000A64E0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50% مبالغ حق بیمه برای بیمه شده اصلی و افراد تحت تکفل توسط دانشگا</w:t>
      </w:r>
      <w:r w:rsidR="005067AA" w:rsidRPr="000A64E0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ه</w:t>
      </w:r>
      <w:r w:rsidRPr="000A64E0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پرداخت خواهد شد</w:t>
      </w:r>
      <w:r w:rsidR="005067AA" w:rsidRPr="000A64E0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.</w:t>
      </w:r>
    </w:p>
    <w:p w:rsidR="0072116A" w:rsidRPr="000A64E0" w:rsidRDefault="0040009E" w:rsidP="00010947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  <w:r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140305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جهت انتخاب یکی از دوطرح، ستون مورد نظر را در جدول فوق علامت زده و هم چنین برای حذف </w:t>
      </w:r>
      <w:r w:rsidR="005067AA" w:rsidRPr="000A64E0">
        <w:rPr>
          <w:rFonts w:cs="B Nazanin" w:hint="cs"/>
          <w:b/>
          <w:bCs/>
          <w:sz w:val="20"/>
          <w:szCs w:val="20"/>
          <w:rtl/>
          <w:lang w:bidi="fa-IR"/>
        </w:rPr>
        <w:t>یا</w:t>
      </w:r>
      <w:r w:rsidR="00140305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 اضافه نمودن بیمه شده اصلی و سایر افراد تحت تکفل نسبت به پر نمودن فرم زیر و ارسال آن </w:t>
      </w:r>
      <w:r w:rsidR="00140305" w:rsidRPr="007C6A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از طریق اتوماسیون اداری تا پایان </w:t>
      </w:r>
      <w:r w:rsidR="000A64E0" w:rsidRPr="007C6A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آبان ماه</w:t>
      </w:r>
      <w:r w:rsidR="00140305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 اقدام فرمایید.</w:t>
      </w:r>
    </w:p>
    <w:p w:rsidR="00140305" w:rsidRPr="000A64E0" w:rsidRDefault="0040009E" w:rsidP="00010947">
      <w:pPr>
        <w:pStyle w:val="ListParagraph"/>
        <w:bidi/>
        <w:spacing w:after="120" w:line="240" w:lineRule="auto"/>
        <w:ind w:left="0" w:right="709"/>
        <w:jc w:val="both"/>
        <w:rPr>
          <w:rFonts w:cs="B Nazanin"/>
          <w:b/>
          <w:bCs/>
          <w:sz w:val="20"/>
          <w:szCs w:val="20"/>
          <w:lang w:bidi="fa-IR"/>
        </w:rPr>
      </w:pPr>
      <w:r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140305" w:rsidRPr="000A64E0">
        <w:rPr>
          <w:rFonts w:cs="B Nazanin" w:hint="cs"/>
          <w:b/>
          <w:bCs/>
          <w:sz w:val="20"/>
          <w:szCs w:val="20"/>
          <w:rtl/>
          <w:lang w:bidi="fa-IR"/>
        </w:rPr>
        <w:t>به منظور اطلاع کافی از جدول تعهدات بیمه گر و بهره برداری بیشتر از خدمات ، لطفا جد</w:t>
      </w:r>
      <w:r w:rsidR="004113A2" w:rsidRPr="000A64E0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140305" w:rsidRPr="000A64E0">
        <w:rPr>
          <w:rFonts w:cs="B Nazanin" w:hint="cs"/>
          <w:b/>
          <w:bCs/>
          <w:sz w:val="20"/>
          <w:szCs w:val="20"/>
          <w:rtl/>
          <w:lang w:bidi="fa-IR"/>
        </w:rPr>
        <w:t>ول پیوست</w:t>
      </w:r>
      <w:r w:rsidR="004113A2" w:rsidRPr="000A64E0">
        <w:rPr>
          <w:rFonts w:cs="B Nazanin" w:hint="cs"/>
          <w:b/>
          <w:bCs/>
          <w:sz w:val="20"/>
          <w:szCs w:val="20"/>
          <w:rtl/>
          <w:lang w:bidi="fa-IR"/>
        </w:rPr>
        <w:t>(عادی و بدون سقف)</w:t>
      </w:r>
      <w:r w:rsidR="00140305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 را با دقت </w:t>
      </w:r>
      <w:r w:rsidR="00CE3D41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مطالعه فرمایید. </w:t>
      </w:r>
    </w:p>
    <w:p w:rsidR="00010947" w:rsidRPr="006E37D6" w:rsidRDefault="009C0E7B" w:rsidP="0027595B">
      <w:pPr>
        <w:bidi/>
        <w:spacing w:after="120" w:line="240" w:lineRule="auto"/>
        <w:ind w:right="709"/>
        <w:jc w:val="both"/>
        <w:rPr>
          <w:rFonts w:cs="B Nazanin"/>
          <w:b/>
          <w:bCs/>
          <w:rtl/>
          <w:lang w:bidi="fa-IR"/>
        </w:rPr>
      </w:pPr>
      <w:r w:rsidRPr="000A64E0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1D1910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CE3D41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خیلی مهم : </w:t>
      </w:r>
      <w:r w:rsidR="00010947" w:rsidRPr="006E37D6">
        <w:rPr>
          <w:rFonts w:cs="B Nazanin" w:hint="cs"/>
          <w:b/>
          <w:bCs/>
          <w:rtl/>
          <w:lang w:bidi="fa-IR"/>
        </w:rPr>
        <w:t>کلیه بیمه شدگان اصلی (آقا) که دارای فرزند ذکور 2</w:t>
      </w:r>
      <w:r w:rsidR="006D203D">
        <w:rPr>
          <w:rFonts w:cs="B Nazanin" w:hint="cs"/>
          <w:b/>
          <w:bCs/>
          <w:rtl/>
          <w:lang w:bidi="fa-IR"/>
        </w:rPr>
        <w:t>2</w:t>
      </w:r>
      <w:r w:rsidR="00010947" w:rsidRPr="006E37D6">
        <w:rPr>
          <w:rFonts w:cs="B Nazanin" w:hint="cs"/>
          <w:b/>
          <w:bCs/>
          <w:rtl/>
          <w:lang w:bidi="fa-IR"/>
        </w:rPr>
        <w:t xml:space="preserve"> تا 25 سال تمام می باشند به صورت غیر تحت تکفل در نظر گرفته شده است </w:t>
      </w:r>
      <w:r w:rsidR="0027595B">
        <w:rPr>
          <w:rFonts w:cs="B Nazanin" w:hint="cs"/>
          <w:b/>
          <w:bCs/>
          <w:rtl/>
          <w:lang w:bidi="fa-IR"/>
        </w:rPr>
        <w:t xml:space="preserve">و </w:t>
      </w:r>
      <w:bookmarkStart w:id="0" w:name="_GoBack"/>
      <w:bookmarkEnd w:id="0"/>
      <w:r w:rsidR="00010947" w:rsidRPr="006E37D6">
        <w:rPr>
          <w:rFonts w:cs="B Nazanin" w:hint="cs"/>
          <w:b/>
          <w:bCs/>
          <w:rtl/>
          <w:lang w:bidi="fa-IR"/>
        </w:rPr>
        <w:t>بعد از ارائه گواهی اشتغال به تحصیل نسبت به تبدیل وضعیت به تحت تکفل اقدام خواهد شد.</w:t>
      </w:r>
    </w:p>
    <w:p w:rsidR="00CE3D41" w:rsidRPr="00354210" w:rsidRDefault="00CE3D41" w:rsidP="00010947">
      <w:pPr>
        <w:bidi/>
        <w:spacing w:after="120" w:line="240" w:lineRule="auto"/>
        <w:ind w:right="709"/>
        <w:jc w:val="both"/>
        <w:rPr>
          <w:rFonts w:cs="B Nazanin"/>
          <w:b/>
          <w:bCs/>
          <w:lang w:bidi="fa-IR"/>
        </w:rPr>
      </w:pPr>
      <w:r w:rsidRPr="00354210">
        <w:rPr>
          <w:rFonts w:cs="B Nazanin" w:hint="cs"/>
          <w:b/>
          <w:bCs/>
          <w:rtl/>
          <w:lang w:bidi="fa-IR"/>
        </w:rPr>
        <w:t>چنانچه همکاران گرامی تا تاریخ قید شده نسبت به انتخاب نوع طرح بیمه،حذف یا اضافه احتمالی در</w:t>
      </w:r>
      <w:r w:rsidR="001D1910" w:rsidRPr="00354210">
        <w:rPr>
          <w:rFonts w:cs="B Nazanin" w:hint="cs"/>
          <w:b/>
          <w:bCs/>
          <w:rtl/>
          <w:lang w:bidi="fa-IR"/>
        </w:rPr>
        <w:t xml:space="preserve"> </w:t>
      </w:r>
      <w:r w:rsidRPr="00354210">
        <w:rPr>
          <w:rFonts w:cs="B Nazanin" w:hint="cs"/>
          <w:b/>
          <w:bCs/>
          <w:rtl/>
          <w:lang w:bidi="fa-IR"/>
        </w:rPr>
        <w:t>قالب فرم زیر اقدام ننمایند</w:t>
      </w:r>
      <w:r w:rsidR="002001F7" w:rsidRPr="00354210">
        <w:rPr>
          <w:rFonts w:cs="B Nazanin" w:hint="cs"/>
          <w:b/>
          <w:bCs/>
          <w:rtl/>
          <w:lang w:bidi="fa-IR"/>
        </w:rPr>
        <w:t>،</w:t>
      </w:r>
      <w:r w:rsidRPr="00354210">
        <w:rPr>
          <w:rFonts w:cs="B Nazanin" w:hint="cs"/>
          <w:b/>
          <w:bCs/>
          <w:rtl/>
          <w:lang w:bidi="fa-IR"/>
        </w:rPr>
        <w:t xml:space="preserve"> موارد قبلی کماکان به قوت خود باقی </w:t>
      </w:r>
      <w:r w:rsidR="009C0E7B" w:rsidRPr="00354210">
        <w:rPr>
          <w:rFonts w:cs="B Nazanin" w:hint="cs"/>
          <w:b/>
          <w:bCs/>
          <w:rtl/>
          <w:lang w:bidi="fa-IR"/>
        </w:rPr>
        <w:t xml:space="preserve">خواهد بود و مسئولیتی از این بابت متوجه این </w:t>
      </w:r>
      <w:r w:rsidR="002001F7" w:rsidRPr="00354210">
        <w:rPr>
          <w:rFonts w:cs="B Nazanin" w:hint="cs"/>
          <w:b/>
          <w:bCs/>
          <w:rtl/>
          <w:lang w:bidi="fa-IR"/>
        </w:rPr>
        <w:t>اداره</w:t>
      </w:r>
      <w:r w:rsidR="009C0E7B" w:rsidRPr="00354210">
        <w:rPr>
          <w:rFonts w:cs="B Nazanin" w:hint="cs"/>
          <w:b/>
          <w:bCs/>
          <w:rtl/>
          <w:lang w:bidi="fa-IR"/>
        </w:rPr>
        <w:t xml:space="preserve"> نخواهد بود.</w:t>
      </w:r>
    </w:p>
    <w:p w:rsidR="009C0E7B" w:rsidRPr="007C6ABD" w:rsidRDefault="009C0E7B" w:rsidP="000B37C3">
      <w:pPr>
        <w:bidi/>
        <w:spacing w:after="120" w:line="240" w:lineRule="auto"/>
        <w:ind w:right="70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* </w:t>
      </w:r>
      <w:r w:rsidR="001D1910" w:rsidRPr="000A64E0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43CCF" w:rsidRPr="007C6ABD">
        <w:rPr>
          <w:rFonts w:cs="B Nazanin" w:hint="cs"/>
          <w:b/>
          <w:bCs/>
          <w:sz w:val="24"/>
          <w:szCs w:val="24"/>
          <w:rtl/>
          <w:lang w:bidi="fa-IR"/>
        </w:rPr>
        <w:t>(جدول 1)</w:t>
      </w:r>
      <w:r w:rsidR="005067AA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113A2" w:rsidRPr="007C6ABD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بیمه شده اصلی و افراد </w:t>
      </w:r>
      <w:r w:rsidR="00ED1874" w:rsidRPr="007C6ABD">
        <w:rPr>
          <w:rFonts w:cs="B Nazanin" w:hint="cs"/>
          <w:b/>
          <w:bCs/>
          <w:sz w:val="24"/>
          <w:szCs w:val="24"/>
          <w:rtl/>
          <w:lang w:bidi="fa-IR"/>
        </w:rPr>
        <w:t>تبعی</w:t>
      </w:r>
      <w:r w:rsidR="00743CCF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( کسانی که برای اولین بار بیمه می شوند ویا </w:t>
      </w:r>
      <w:r w:rsidR="005067AA" w:rsidRPr="007C6ABD">
        <w:rPr>
          <w:rFonts w:cs="B Nazanin" w:hint="cs"/>
          <w:b/>
          <w:bCs/>
          <w:sz w:val="24"/>
          <w:szCs w:val="24"/>
          <w:rtl/>
          <w:lang w:bidi="fa-IR"/>
        </w:rPr>
        <w:t>افزایش در تعداد نفرات دارند</w:t>
      </w:r>
      <w:r w:rsidR="00743CCF" w:rsidRPr="007C6ABD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9774" w:type="dxa"/>
        <w:tblLayout w:type="fixed"/>
        <w:tblLook w:val="04A0" w:firstRow="1" w:lastRow="0" w:firstColumn="1" w:lastColumn="0" w:noHBand="0" w:noVBand="1"/>
      </w:tblPr>
      <w:tblGrid>
        <w:gridCol w:w="414"/>
        <w:gridCol w:w="2250"/>
        <w:gridCol w:w="1530"/>
        <w:gridCol w:w="1350"/>
        <w:gridCol w:w="1440"/>
        <w:gridCol w:w="1350"/>
        <w:gridCol w:w="1440"/>
      </w:tblGrid>
      <w:tr w:rsidR="001C62AA" w:rsidRPr="007C6ABD" w:rsidTr="00915683">
        <w:trPr>
          <w:cantSplit/>
          <w:trHeight w:val="1223"/>
        </w:trPr>
        <w:tc>
          <w:tcPr>
            <w:tcW w:w="414" w:type="dxa"/>
            <w:textDirection w:val="btLr"/>
          </w:tcPr>
          <w:p w:rsidR="001C62AA" w:rsidRPr="000A64E0" w:rsidRDefault="001C62AA" w:rsidP="000B37C3">
            <w:pPr>
              <w:bidi/>
              <w:spacing w:after="120"/>
              <w:ind w:left="113"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50" w:type="dxa"/>
          </w:tcPr>
          <w:p w:rsidR="001C62AA" w:rsidRPr="007C6ABD" w:rsidRDefault="000C0268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 نام خانوادگی</w:t>
            </w:r>
          </w:p>
        </w:tc>
        <w:tc>
          <w:tcPr>
            <w:tcW w:w="1530" w:type="dxa"/>
          </w:tcPr>
          <w:p w:rsidR="004113A2" w:rsidRPr="007C6ABD" w:rsidRDefault="000C0268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ت.ت</w:t>
            </w:r>
          </w:p>
        </w:tc>
        <w:tc>
          <w:tcPr>
            <w:tcW w:w="1350" w:type="dxa"/>
          </w:tcPr>
          <w:p w:rsidR="001C62AA" w:rsidRPr="007C6ABD" w:rsidRDefault="000C0268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ش.ش</w:t>
            </w:r>
          </w:p>
        </w:tc>
        <w:tc>
          <w:tcPr>
            <w:tcW w:w="1440" w:type="dxa"/>
          </w:tcPr>
          <w:p w:rsidR="001C62AA" w:rsidRPr="007C6ABD" w:rsidRDefault="000C0268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350" w:type="dxa"/>
          </w:tcPr>
          <w:p w:rsidR="001C62AA" w:rsidRPr="007C6ABD" w:rsidRDefault="000C0268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  <w:tc>
          <w:tcPr>
            <w:tcW w:w="1440" w:type="dxa"/>
          </w:tcPr>
          <w:p w:rsidR="001C62AA" w:rsidRPr="007C6ABD" w:rsidRDefault="000C0268" w:rsidP="007C6ABD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6AB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</w:tr>
      <w:tr w:rsidR="001C62AA" w:rsidRPr="000A64E0" w:rsidTr="007C6ABD">
        <w:trPr>
          <w:trHeight w:val="388"/>
        </w:trPr>
        <w:tc>
          <w:tcPr>
            <w:tcW w:w="414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62AA" w:rsidRPr="000A64E0" w:rsidTr="007C6ABD">
        <w:tc>
          <w:tcPr>
            <w:tcW w:w="414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62AA" w:rsidRPr="000A64E0" w:rsidTr="007C6ABD">
        <w:tc>
          <w:tcPr>
            <w:tcW w:w="414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62AA" w:rsidRPr="000A64E0" w:rsidTr="007C6ABD">
        <w:tc>
          <w:tcPr>
            <w:tcW w:w="414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C62AA" w:rsidRPr="000A64E0" w:rsidRDefault="001C62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7BB2" w:rsidRPr="000A64E0" w:rsidTr="007C6ABD">
        <w:trPr>
          <w:trHeight w:val="348"/>
        </w:trPr>
        <w:tc>
          <w:tcPr>
            <w:tcW w:w="414" w:type="dxa"/>
          </w:tcPr>
          <w:p w:rsidR="00677BB2" w:rsidRPr="000A64E0" w:rsidRDefault="00677BB2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677BB2" w:rsidRPr="000A64E0" w:rsidRDefault="00677BB2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677BB2" w:rsidRPr="000A64E0" w:rsidRDefault="00677BB2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677BB2" w:rsidRPr="000A64E0" w:rsidRDefault="00677BB2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677BB2" w:rsidRPr="000A64E0" w:rsidRDefault="00677BB2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FC0A11" w:rsidRPr="000A64E0" w:rsidRDefault="00FC0A11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677BB2" w:rsidRPr="000A64E0" w:rsidRDefault="00677BB2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E3D41" w:rsidRPr="007C6ABD" w:rsidRDefault="001D1910" w:rsidP="000B37C3">
      <w:pPr>
        <w:bidi/>
        <w:spacing w:after="120" w:line="240" w:lineRule="auto"/>
        <w:ind w:right="709"/>
        <w:rPr>
          <w:rFonts w:cs="B Nazanin"/>
          <w:b/>
          <w:bCs/>
          <w:sz w:val="24"/>
          <w:szCs w:val="24"/>
          <w:rtl/>
          <w:lang w:bidi="fa-IR"/>
        </w:rPr>
      </w:pPr>
      <w:r w:rsidRPr="000A64E0">
        <w:rPr>
          <w:rFonts w:cs="B Nazanin" w:hint="cs"/>
          <w:sz w:val="20"/>
          <w:szCs w:val="20"/>
          <w:rtl/>
          <w:lang w:bidi="fa-IR"/>
        </w:rPr>
        <w:t xml:space="preserve">* </w:t>
      </w:r>
      <w:r w:rsidR="00743CCF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جدول( 2) </w:t>
      </w:r>
      <w:r w:rsidR="002001F7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موارد </w:t>
      </w:r>
      <w:r w:rsidR="000C0268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حذف بیمه شده اصلی و افراد </w:t>
      </w:r>
      <w:r w:rsidR="00ED1874" w:rsidRPr="007C6ABD">
        <w:rPr>
          <w:rFonts w:cs="B Nazanin" w:hint="cs"/>
          <w:b/>
          <w:bCs/>
          <w:sz w:val="24"/>
          <w:szCs w:val="24"/>
          <w:rtl/>
          <w:lang w:bidi="fa-IR"/>
        </w:rPr>
        <w:t>تبعی</w:t>
      </w:r>
      <w:r w:rsidR="00677BB2" w:rsidRPr="007C6A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5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04"/>
        <w:gridCol w:w="2371"/>
        <w:gridCol w:w="1560"/>
      </w:tblGrid>
      <w:tr w:rsidR="005067AA" w:rsidRPr="000A64E0" w:rsidTr="00EA2131">
        <w:tc>
          <w:tcPr>
            <w:tcW w:w="1304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71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60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</w:tr>
      <w:tr w:rsidR="005067AA" w:rsidRPr="000A64E0" w:rsidTr="00EA2131">
        <w:tc>
          <w:tcPr>
            <w:tcW w:w="1304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67AA" w:rsidRPr="000A64E0" w:rsidTr="00EA2131">
        <w:tc>
          <w:tcPr>
            <w:tcW w:w="1304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67AA" w:rsidRPr="000A64E0" w:rsidTr="00EA2131">
        <w:tc>
          <w:tcPr>
            <w:tcW w:w="1304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5067AA" w:rsidRPr="000A64E0" w:rsidRDefault="005067AA" w:rsidP="000B37C3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6078D" w:rsidRPr="000A64E0" w:rsidRDefault="0096078D" w:rsidP="000B37C3">
      <w:pPr>
        <w:bidi/>
        <w:ind w:right="709"/>
        <w:rPr>
          <w:rFonts w:cs="B Nazanin"/>
          <w:sz w:val="20"/>
          <w:szCs w:val="20"/>
          <w:rtl/>
          <w:lang w:bidi="fa-IR"/>
        </w:rPr>
      </w:pPr>
    </w:p>
    <w:p w:rsidR="0096078D" w:rsidRPr="000A64E0" w:rsidRDefault="0096078D" w:rsidP="000B37C3">
      <w:pPr>
        <w:bidi/>
        <w:ind w:right="709"/>
        <w:rPr>
          <w:rFonts w:cs="B Nazanin"/>
          <w:sz w:val="28"/>
          <w:szCs w:val="28"/>
          <w:rtl/>
          <w:lang w:bidi="fa-IR"/>
        </w:rPr>
      </w:pPr>
    </w:p>
    <w:p w:rsidR="008B64E7" w:rsidRPr="000A64E0" w:rsidRDefault="0096078D" w:rsidP="000B37C3">
      <w:pPr>
        <w:tabs>
          <w:tab w:val="left" w:pos="2390"/>
        </w:tabs>
        <w:bidi/>
        <w:rPr>
          <w:rFonts w:cs="B Nazanin"/>
          <w:sz w:val="28"/>
          <w:szCs w:val="28"/>
          <w:rtl/>
          <w:lang w:bidi="fa-IR"/>
        </w:rPr>
      </w:pPr>
      <w:r w:rsidRPr="000A64E0">
        <w:rPr>
          <w:rFonts w:cs="B Nazanin"/>
          <w:sz w:val="28"/>
          <w:szCs w:val="28"/>
          <w:rtl/>
          <w:lang w:bidi="fa-IR"/>
        </w:rPr>
        <w:tab/>
      </w:r>
    </w:p>
    <w:sectPr w:rsidR="008B64E7" w:rsidRPr="000A64E0" w:rsidSect="000B37C3">
      <w:pgSz w:w="12240" w:h="15840"/>
      <w:pgMar w:top="1440" w:right="1440" w:bottom="720" w:left="0" w:header="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33" w:rsidRDefault="00FF5333" w:rsidP="00ED0F52">
      <w:pPr>
        <w:spacing w:after="0" w:line="240" w:lineRule="auto"/>
      </w:pPr>
      <w:r>
        <w:separator/>
      </w:r>
    </w:p>
  </w:endnote>
  <w:endnote w:type="continuationSeparator" w:id="0">
    <w:p w:rsidR="00FF5333" w:rsidRDefault="00FF5333" w:rsidP="00ED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33" w:rsidRDefault="00FF5333" w:rsidP="00ED0F52">
      <w:pPr>
        <w:spacing w:after="0" w:line="240" w:lineRule="auto"/>
      </w:pPr>
      <w:r>
        <w:separator/>
      </w:r>
    </w:p>
  </w:footnote>
  <w:footnote w:type="continuationSeparator" w:id="0">
    <w:p w:rsidR="00FF5333" w:rsidRDefault="00FF5333" w:rsidP="00ED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5534"/>
    <w:multiLevelType w:val="hybridMultilevel"/>
    <w:tmpl w:val="C7F8FB56"/>
    <w:lvl w:ilvl="0" w:tplc="B050646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D0"/>
    <w:rsid w:val="00010947"/>
    <w:rsid w:val="00075B23"/>
    <w:rsid w:val="00082F7A"/>
    <w:rsid w:val="000A1FC6"/>
    <w:rsid w:val="000A2151"/>
    <w:rsid w:val="000A64E0"/>
    <w:rsid w:val="000B37C3"/>
    <w:rsid w:val="000C0268"/>
    <w:rsid w:val="00121AC5"/>
    <w:rsid w:val="00140305"/>
    <w:rsid w:val="001409E5"/>
    <w:rsid w:val="00164472"/>
    <w:rsid w:val="00182D8E"/>
    <w:rsid w:val="0019103B"/>
    <w:rsid w:val="001C003A"/>
    <w:rsid w:val="001C5B75"/>
    <w:rsid w:val="001C62AA"/>
    <w:rsid w:val="001D1910"/>
    <w:rsid w:val="001F6028"/>
    <w:rsid w:val="002001F7"/>
    <w:rsid w:val="002177BF"/>
    <w:rsid w:val="0027595B"/>
    <w:rsid w:val="00297E92"/>
    <w:rsid w:val="002C6E30"/>
    <w:rsid w:val="002E1A68"/>
    <w:rsid w:val="00306201"/>
    <w:rsid w:val="00323A72"/>
    <w:rsid w:val="00354210"/>
    <w:rsid w:val="00383F17"/>
    <w:rsid w:val="003A1CBD"/>
    <w:rsid w:val="0040009E"/>
    <w:rsid w:val="00402FFE"/>
    <w:rsid w:val="004113A2"/>
    <w:rsid w:val="0044451C"/>
    <w:rsid w:val="0046384F"/>
    <w:rsid w:val="004B598E"/>
    <w:rsid w:val="004C7839"/>
    <w:rsid w:val="005067AA"/>
    <w:rsid w:val="00574C0D"/>
    <w:rsid w:val="00581E5E"/>
    <w:rsid w:val="005B0BB2"/>
    <w:rsid w:val="005D70AB"/>
    <w:rsid w:val="005F117A"/>
    <w:rsid w:val="00625E9B"/>
    <w:rsid w:val="006509EB"/>
    <w:rsid w:val="00656CEA"/>
    <w:rsid w:val="00677BB2"/>
    <w:rsid w:val="006D203D"/>
    <w:rsid w:val="006E37D6"/>
    <w:rsid w:val="0072116A"/>
    <w:rsid w:val="00740564"/>
    <w:rsid w:val="00743CCF"/>
    <w:rsid w:val="007864FD"/>
    <w:rsid w:val="007B02CB"/>
    <w:rsid w:val="007C0D78"/>
    <w:rsid w:val="007C6ABD"/>
    <w:rsid w:val="00811294"/>
    <w:rsid w:val="00827E8A"/>
    <w:rsid w:val="00850CB4"/>
    <w:rsid w:val="00886D76"/>
    <w:rsid w:val="008B64E7"/>
    <w:rsid w:val="008D5FF5"/>
    <w:rsid w:val="008E30B2"/>
    <w:rsid w:val="009033D7"/>
    <w:rsid w:val="0091538D"/>
    <w:rsid w:val="00915683"/>
    <w:rsid w:val="00921F46"/>
    <w:rsid w:val="0092233C"/>
    <w:rsid w:val="00930544"/>
    <w:rsid w:val="00936986"/>
    <w:rsid w:val="0096078D"/>
    <w:rsid w:val="009B43A8"/>
    <w:rsid w:val="009C0E7B"/>
    <w:rsid w:val="00A14BBC"/>
    <w:rsid w:val="00A21FD0"/>
    <w:rsid w:val="00A9582F"/>
    <w:rsid w:val="00AD43E6"/>
    <w:rsid w:val="00B14597"/>
    <w:rsid w:val="00B41BC1"/>
    <w:rsid w:val="00B55F09"/>
    <w:rsid w:val="00B71DBC"/>
    <w:rsid w:val="00BA5A94"/>
    <w:rsid w:val="00BC469A"/>
    <w:rsid w:val="00BD0BA5"/>
    <w:rsid w:val="00C327BF"/>
    <w:rsid w:val="00C514FC"/>
    <w:rsid w:val="00C81DF8"/>
    <w:rsid w:val="00C85A91"/>
    <w:rsid w:val="00CA57A3"/>
    <w:rsid w:val="00CB1EC0"/>
    <w:rsid w:val="00CE3D41"/>
    <w:rsid w:val="00CE6EC8"/>
    <w:rsid w:val="00D25BAC"/>
    <w:rsid w:val="00DA6FB7"/>
    <w:rsid w:val="00DC5982"/>
    <w:rsid w:val="00DD2C21"/>
    <w:rsid w:val="00DD6BB8"/>
    <w:rsid w:val="00E50907"/>
    <w:rsid w:val="00E563D8"/>
    <w:rsid w:val="00E618D0"/>
    <w:rsid w:val="00E97306"/>
    <w:rsid w:val="00EA2131"/>
    <w:rsid w:val="00EC3AF9"/>
    <w:rsid w:val="00ED0F52"/>
    <w:rsid w:val="00ED1874"/>
    <w:rsid w:val="00EF0B70"/>
    <w:rsid w:val="00F17A69"/>
    <w:rsid w:val="00F3147D"/>
    <w:rsid w:val="00F36C2D"/>
    <w:rsid w:val="00FA6542"/>
    <w:rsid w:val="00FC0A11"/>
    <w:rsid w:val="00FE39FD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44E7A-D344-4AF9-B645-FFF05C4C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52"/>
  </w:style>
  <w:style w:type="paragraph" w:styleId="Footer">
    <w:name w:val="footer"/>
    <w:basedOn w:val="Normal"/>
    <w:link w:val="FooterChar"/>
    <w:uiPriority w:val="99"/>
    <w:unhideWhenUsed/>
    <w:rsid w:val="00ED0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52"/>
  </w:style>
  <w:style w:type="paragraph" w:styleId="Subtitle">
    <w:name w:val="Subtitle"/>
    <w:basedOn w:val="Normal"/>
    <w:next w:val="Normal"/>
    <w:link w:val="SubtitleChar"/>
    <w:uiPriority w:val="11"/>
    <w:qFormat/>
    <w:rsid w:val="00DC59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9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64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64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4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4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EE75-995A-4378-A845-8351AEF2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Ghasemi</dc:creator>
  <cp:lastModifiedBy>user</cp:lastModifiedBy>
  <cp:revision>10</cp:revision>
  <cp:lastPrinted>2020-10-26T09:14:00Z</cp:lastPrinted>
  <dcterms:created xsi:type="dcterms:W3CDTF">2020-10-26T09:14:00Z</dcterms:created>
  <dcterms:modified xsi:type="dcterms:W3CDTF">2020-11-01T10:15:00Z</dcterms:modified>
</cp:coreProperties>
</file>